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141E9" w:rsidRDefault="00F92268" w:rsidP="00850792">
      <w:pPr>
        <w:pStyle w:val="BodyText"/>
        <w:rPr>
          <w:sz w:val="6"/>
          <w:szCs w:val="6"/>
        </w:rPr>
      </w:pPr>
      <w:r w:rsidRPr="00E141E9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141E9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141E9" w:rsidRDefault="00F92268" w:rsidP="00F246C7">
            <w:pPr>
              <w:pStyle w:val="RefTableData"/>
            </w:pPr>
            <w:r w:rsidRPr="00E141E9">
              <w:t>Reference number(s)</w:t>
            </w:r>
          </w:p>
        </w:tc>
      </w:tr>
      <w:tr w:rsidR="00F92268" w:rsidRPr="00E141E9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D3333EA" w:rsidR="00F92268" w:rsidRPr="00E141E9" w:rsidRDefault="00304B8C" w:rsidP="00F246C7">
            <w:pPr>
              <w:pStyle w:val="RefTableHeader"/>
            </w:pPr>
            <w:r w:rsidRPr="00E141E9">
              <w:t>1664-A</w:t>
            </w:r>
          </w:p>
        </w:tc>
      </w:tr>
    </w:tbl>
    <w:p w14:paraId="74FBA5B4" w14:textId="77777777" w:rsidR="00051356" w:rsidRPr="00E141E9" w:rsidRDefault="00051356" w:rsidP="00A672B3">
      <w:pPr>
        <w:pStyle w:val="BodyText"/>
        <w:rPr>
          <w:b/>
          <w:bCs/>
          <w:sz w:val="16"/>
          <w:szCs w:val="16"/>
        </w:rPr>
        <w:sectPr w:rsidR="00051356" w:rsidRPr="00E141E9" w:rsidSect="00692B1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DA6E23A" w:rsidR="004B15BB" w:rsidRPr="00E141E9" w:rsidRDefault="0036735C" w:rsidP="007E5C16">
      <w:pPr>
        <w:pStyle w:val="Heading1"/>
      </w:pPr>
      <w:r w:rsidRPr="00E141E9">
        <w:t>Specialty Guideline Management</w:t>
      </w:r>
      <w:r w:rsidR="008C54D9" w:rsidRPr="00E141E9">
        <w:br/>
      </w:r>
      <w:r w:rsidR="00A85CC2">
        <w:t>e</w:t>
      </w:r>
      <w:r w:rsidR="00654355" w:rsidRPr="00E141E9">
        <w:t>rlotinib</w:t>
      </w:r>
    </w:p>
    <w:p w14:paraId="4B362A4A" w14:textId="0D1629EF" w:rsidR="00791C32" w:rsidRPr="00E141E9" w:rsidRDefault="00791C32" w:rsidP="00791C32">
      <w:pPr>
        <w:pStyle w:val="Heading2"/>
      </w:pPr>
      <w:r w:rsidRPr="00E141E9">
        <w:t>Products Referenced by this Document</w:t>
      </w:r>
    </w:p>
    <w:p w14:paraId="7801356B" w14:textId="783788FC" w:rsidR="00791C32" w:rsidRPr="00E141E9" w:rsidRDefault="00791C32" w:rsidP="00791C32">
      <w:pPr>
        <w:pStyle w:val="BodyText"/>
      </w:pPr>
      <w:r w:rsidRPr="00E141E9">
        <w:t xml:space="preserve">Drugs that are listed in the following table include both brand and generic and all dosage forms and strengths unless otherwise stated. </w:t>
      </w:r>
      <w:r w:rsidR="00AA6714">
        <w:t>Over-the-counter (</w:t>
      </w:r>
      <w:r w:rsidRPr="00E141E9">
        <w:t>OTC</w:t>
      </w:r>
      <w:r w:rsidR="00AA6714">
        <w:t>)</w:t>
      </w:r>
      <w:r w:rsidRPr="00E141E9">
        <w:t xml:space="preserve"> products are not included unless otherwise stated.</w:t>
      </w:r>
    </w:p>
    <w:tbl>
      <w:tblPr>
        <w:tblStyle w:val="TableGrid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20" w:firstRow="1" w:lastRow="0" w:firstColumn="0" w:lastColumn="0" w:noHBand="0" w:noVBand="1"/>
      </w:tblPr>
      <w:tblGrid>
        <w:gridCol w:w="10740"/>
      </w:tblGrid>
      <w:tr w:rsidR="00791C32" w:rsidRPr="00E141E9" w14:paraId="4F789FE7" w14:textId="77777777" w:rsidTr="00791C32">
        <w:trPr>
          <w:cantSplit/>
          <w:tblHeader/>
        </w:trPr>
        <w:tc>
          <w:tcPr>
            <w:tcW w:w="10740" w:type="dxa"/>
          </w:tcPr>
          <w:p w14:paraId="01525AF8" w14:textId="46419912" w:rsidR="00791C32" w:rsidRPr="00E141E9" w:rsidRDefault="00976611" w:rsidP="00BE1626">
            <w:pPr>
              <w:pStyle w:val="TableHeader"/>
            </w:pPr>
            <w:r>
              <w:t>Generic Name</w:t>
            </w:r>
          </w:p>
        </w:tc>
      </w:tr>
      <w:tr w:rsidR="00791C32" w:rsidRPr="00E141E9" w14:paraId="1D604823" w14:textId="77777777" w:rsidTr="00791C32">
        <w:trPr>
          <w:cantSplit/>
        </w:trPr>
        <w:tc>
          <w:tcPr>
            <w:tcW w:w="10740" w:type="dxa"/>
          </w:tcPr>
          <w:p w14:paraId="619B4984" w14:textId="5D9A24C0" w:rsidR="00791C32" w:rsidRPr="00E141E9" w:rsidRDefault="00976611" w:rsidP="00BE1626">
            <w:pPr>
              <w:pStyle w:val="TableDataUnpadded"/>
            </w:pPr>
            <w:r>
              <w:t>e</w:t>
            </w:r>
            <w:r w:rsidR="00791C32" w:rsidRPr="00E141E9">
              <w:t>rlotinib</w:t>
            </w:r>
          </w:p>
        </w:tc>
      </w:tr>
    </w:tbl>
    <w:p w14:paraId="14CE6108" w14:textId="7D80B216" w:rsidR="00FC1AAD" w:rsidRPr="00E141E9" w:rsidRDefault="00ED052F" w:rsidP="00AA2A94">
      <w:pPr>
        <w:pStyle w:val="Heading2"/>
        <w:tabs>
          <w:tab w:val="left" w:pos="9540"/>
        </w:tabs>
      </w:pPr>
      <w:r w:rsidRPr="00E141E9">
        <w:t>Indications</w:t>
      </w:r>
    </w:p>
    <w:p w14:paraId="4D265811" w14:textId="003E3126" w:rsidR="007B5DBA" w:rsidRPr="00E141E9" w:rsidRDefault="007B5DBA" w:rsidP="007B5DBA">
      <w:pPr>
        <w:pStyle w:val="BodyText"/>
      </w:pPr>
      <w:r w:rsidRPr="00E141E9">
        <w:t>The indications below including FDA-approved indications and compendial uses are considered a covered benefit provided that all the approval criteria are met and the member has no exclusions to the prescribed therapy</w:t>
      </w:r>
      <w:r w:rsidR="00342D03" w:rsidRPr="00E141E9">
        <w:t>.</w:t>
      </w:r>
    </w:p>
    <w:p w14:paraId="134B5687" w14:textId="5467159B" w:rsidR="00ED052F" w:rsidRPr="00E141E9" w:rsidRDefault="00ED052F" w:rsidP="00ED052F">
      <w:pPr>
        <w:pStyle w:val="Heading3"/>
        <w:keepNext w:val="0"/>
      </w:pPr>
      <w:r w:rsidRPr="00E141E9">
        <w:t>FDA-</w:t>
      </w:r>
      <w:r w:rsidR="00C359D3" w:rsidRPr="00E141E9">
        <w:t>A</w:t>
      </w:r>
      <w:r w:rsidRPr="00E141E9">
        <w:t>pproved Indications</w:t>
      </w:r>
      <w:r w:rsidR="00342D03" w:rsidRPr="00E141E9">
        <w:rPr>
          <w:vertAlign w:val="superscript"/>
        </w:rPr>
        <w:t>1</w:t>
      </w:r>
    </w:p>
    <w:p w14:paraId="4C11EDD2" w14:textId="20408F05" w:rsidR="00ED052F" w:rsidRPr="00E141E9" w:rsidRDefault="00C71628" w:rsidP="00ED012B">
      <w:pPr>
        <w:pStyle w:val="Heading4"/>
      </w:pPr>
      <w:r w:rsidRPr="00E141E9">
        <w:t>Non-Small Cell Lung Cancer (NSCLC</w:t>
      </w:r>
      <w:r w:rsidR="00E62838" w:rsidRPr="00E141E9">
        <w:t>)</w:t>
      </w:r>
    </w:p>
    <w:p w14:paraId="66DD5D44" w14:textId="5A691EE5" w:rsidR="00ED052F" w:rsidRPr="00E141E9" w:rsidRDefault="00FE5FDA" w:rsidP="00ED052F">
      <w:pPr>
        <w:pStyle w:val="BodyText"/>
      </w:pPr>
      <w:r w:rsidRPr="00E141E9">
        <w:t>Erlotinib is indicated for the treatment of patients with metastatic non-small cell lung cancer (NSCLC) whose tumors have epidermal growth factor receptor (EGFR) exon 19 deletions or exon 21 (L858R) substitution mutations as detected by an FDA-approved test receiving first-line, maintenance, or second or greater line treatment after progression following at least one prior chemotherapy regimen</w:t>
      </w:r>
      <w:r w:rsidR="005612D2" w:rsidRPr="00E141E9">
        <w:t>.</w:t>
      </w:r>
    </w:p>
    <w:p w14:paraId="48085E54" w14:textId="4AAF08D3" w:rsidR="009A5649" w:rsidRPr="00E141E9" w:rsidRDefault="00A30ABB" w:rsidP="00766061">
      <w:pPr>
        <w:pStyle w:val="Heading5"/>
      </w:pPr>
      <w:r w:rsidRPr="00E141E9">
        <w:t>Limitations of Use</w:t>
      </w:r>
      <w:r w:rsidR="005612D2" w:rsidRPr="00E141E9">
        <w:t>:</w:t>
      </w:r>
    </w:p>
    <w:p w14:paraId="6F80BB8D" w14:textId="45610093" w:rsidR="0040328E" w:rsidRPr="00865C75" w:rsidRDefault="0040328E" w:rsidP="00865C75">
      <w:pPr>
        <w:pStyle w:val="ListParagraph"/>
      </w:pPr>
      <w:r w:rsidRPr="00865C75">
        <w:t xml:space="preserve">Safety and efficacy of erlotinib have not been established in patients with NSCLC whose tumors have other EGFR mutations. </w:t>
      </w:r>
    </w:p>
    <w:p w14:paraId="1A8AD4BB" w14:textId="02D05642" w:rsidR="009A5649" w:rsidRPr="00865C75" w:rsidRDefault="0040328E" w:rsidP="00865C75">
      <w:pPr>
        <w:pStyle w:val="ListParagraph"/>
      </w:pPr>
      <w:r w:rsidRPr="00865C75">
        <w:t>Erlotinib is not recommended for use in combination with platinum-based chemotherapy</w:t>
      </w:r>
      <w:r w:rsidR="009A5649" w:rsidRPr="00865C75">
        <w:t>.</w:t>
      </w:r>
    </w:p>
    <w:p w14:paraId="057266F7" w14:textId="49966289" w:rsidR="00342D03" w:rsidRPr="00865C75" w:rsidRDefault="00342D03" w:rsidP="00865C75">
      <w:pPr>
        <w:pStyle w:val="Heading4"/>
      </w:pPr>
      <w:r w:rsidRPr="00865C75">
        <w:t xml:space="preserve">Pancreatic </w:t>
      </w:r>
      <w:r w:rsidR="005612D2" w:rsidRPr="00865C75">
        <w:t>Cancer</w:t>
      </w:r>
    </w:p>
    <w:p w14:paraId="10E4B94C" w14:textId="77777777" w:rsidR="00342D03" w:rsidRPr="00E141E9" w:rsidRDefault="00342D03" w:rsidP="00342D03">
      <w:pPr>
        <w:pStyle w:val="BodyText"/>
        <w:rPr>
          <w:u w:val="single"/>
        </w:rPr>
      </w:pPr>
      <w:r w:rsidRPr="00E141E9">
        <w:t>Erlotinib in combination with gemcitabine is indicated for the first-line treatment of patients with locally advanced, unresectable or metastatic pancreatic cancer.</w:t>
      </w:r>
    </w:p>
    <w:p w14:paraId="0B5EC236" w14:textId="0ADD0F16" w:rsidR="0044763A" w:rsidRPr="00E141E9" w:rsidRDefault="009F2EF1" w:rsidP="0044763A">
      <w:pPr>
        <w:pStyle w:val="Heading3"/>
      </w:pPr>
      <w:r w:rsidRPr="00E141E9">
        <w:lastRenderedPageBreak/>
        <w:t>Compendial Uses</w:t>
      </w:r>
      <w:r w:rsidR="00342D03" w:rsidRPr="00E141E9">
        <w:rPr>
          <w:vertAlign w:val="superscript"/>
        </w:rPr>
        <w:t>2</w:t>
      </w:r>
    </w:p>
    <w:p w14:paraId="1B402841" w14:textId="73252463" w:rsidR="008A3038" w:rsidRPr="00E141E9" w:rsidRDefault="008A3038" w:rsidP="00342D03">
      <w:pPr>
        <w:pStyle w:val="ListParagraph"/>
        <w:numPr>
          <w:ilvl w:val="0"/>
          <w:numId w:val="33"/>
        </w:numPr>
      </w:pPr>
      <w:r w:rsidRPr="00E141E9">
        <w:t>NSCLC, recurrent, advanced or metastatic</w:t>
      </w:r>
      <w:r w:rsidR="00FF409F">
        <w:t xml:space="preserve"> </w:t>
      </w:r>
      <w:r w:rsidRPr="00E141E9">
        <w:t xml:space="preserve">EGFR </w:t>
      </w:r>
      <w:r w:rsidR="00FF409F" w:rsidRPr="00E141E9">
        <w:t xml:space="preserve">sensitizing </w:t>
      </w:r>
      <w:r w:rsidRPr="00E141E9">
        <w:t xml:space="preserve">mutation-positive </w:t>
      </w:r>
    </w:p>
    <w:p w14:paraId="0755054E" w14:textId="6E2555AD" w:rsidR="008A3038" w:rsidRPr="00E141E9" w:rsidRDefault="008A3038" w:rsidP="00342D03">
      <w:pPr>
        <w:pStyle w:val="ListParagraph"/>
        <w:numPr>
          <w:ilvl w:val="0"/>
          <w:numId w:val="33"/>
        </w:numPr>
      </w:pPr>
      <w:r w:rsidRPr="00E141E9">
        <w:t xml:space="preserve">Recurrent bone cancer – recurrent </w:t>
      </w:r>
      <w:r w:rsidR="001E575B">
        <w:t xml:space="preserve">conventional or chondroid </w:t>
      </w:r>
      <w:r w:rsidRPr="00E141E9">
        <w:t xml:space="preserve">chordoma </w:t>
      </w:r>
    </w:p>
    <w:p w14:paraId="63B943F2" w14:textId="534F10FF" w:rsidR="008A3038" w:rsidRPr="00E141E9" w:rsidRDefault="008A3038" w:rsidP="00342D03">
      <w:pPr>
        <w:pStyle w:val="ListParagraph"/>
        <w:numPr>
          <w:ilvl w:val="0"/>
          <w:numId w:val="33"/>
        </w:numPr>
      </w:pPr>
      <w:r w:rsidRPr="00E141E9">
        <w:t>Renal cell carcinoma, relapsed or stage IV disease with non-clear cell histology</w:t>
      </w:r>
    </w:p>
    <w:p w14:paraId="5570871C" w14:textId="4F3099F7" w:rsidR="008A3038" w:rsidRPr="00E141E9" w:rsidRDefault="008A3038" w:rsidP="00342D03">
      <w:pPr>
        <w:pStyle w:val="ListParagraph"/>
        <w:numPr>
          <w:ilvl w:val="0"/>
          <w:numId w:val="33"/>
        </w:numPr>
      </w:pPr>
      <w:r w:rsidRPr="00E141E9">
        <w:t>Brain metastases from EGFR sensitizing mutation-positive NSCLC</w:t>
      </w:r>
    </w:p>
    <w:p w14:paraId="58FC2219" w14:textId="44AF0EF4" w:rsidR="008A3038" w:rsidRPr="00E141E9" w:rsidRDefault="008A3038" w:rsidP="00342D03">
      <w:pPr>
        <w:pStyle w:val="ListParagraph"/>
        <w:numPr>
          <w:ilvl w:val="0"/>
          <w:numId w:val="33"/>
        </w:numPr>
        <w:spacing w:after="120"/>
      </w:pPr>
      <w:r w:rsidRPr="00E141E9">
        <w:t>Recurrent pancreatic cancer</w:t>
      </w:r>
    </w:p>
    <w:p w14:paraId="0D5A9DD5" w14:textId="1569FA60" w:rsidR="009A5649" w:rsidRPr="00E141E9" w:rsidRDefault="009A5649" w:rsidP="00342D03">
      <w:pPr>
        <w:pStyle w:val="BodyText"/>
        <w:rPr>
          <w:rFonts w:eastAsia="Arial"/>
        </w:rPr>
      </w:pPr>
      <w:r w:rsidRPr="00E141E9">
        <w:t xml:space="preserve">All other indications are considered experimental/investigational and </w:t>
      </w:r>
      <w:r w:rsidRPr="00E141E9">
        <w:rPr>
          <w:rFonts w:eastAsia="Arial"/>
        </w:rPr>
        <w:t>not medically necessary.</w:t>
      </w:r>
    </w:p>
    <w:p w14:paraId="36381B6D" w14:textId="4D3CFC1D" w:rsidR="000D2496" w:rsidRPr="00E141E9" w:rsidRDefault="000D2496" w:rsidP="000D2496">
      <w:pPr>
        <w:pStyle w:val="Heading2"/>
      </w:pPr>
      <w:r w:rsidRPr="00E141E9">
        <w:t>Documentation</w:t>
      </w:r>
    </w:p>
    <w:p w14:paraId="79C47276" w14:textId="282F604D" w:rsidR="00C75C02" w:rsidRPr="00E141E9" w:rsidRDefault="00656BAA" w:rsidP="00656BAA">
      <w:pPr>
        <w:pStyle w:val="BodyText"/>
      </w:pPr>
      <w:r w:rsidRPr="00E141E9">
        <w:t>Submission of the following information is necessary to initiate the prior authorization review: EGFR mutation testing results (where applicable).</w:t>
      </w:r>
    </w:p>
    <w:p w14:paraId="50A38FBA" w14:textId="37A0C3C5" w:rsidR="00FE0C63" w:rsidRPr="00E141E9" w:rsidRDefault="00685107" w:rsidP="00342D03">
      <w:pPr>
        <w:pStyle w:val="Heading2"/>
        <w:keepNext w:val="0"/>
        <w:widowControl w:val="0"/>
      </w:pPr>
      <w:r w:rsidRPr="00E141E9">
        <w:t>Coverage Criteria</w:t>
      </w:r>
    </w:p>
    <w:p w14:paraId="0B84CFF6" w14:textId="1064EDA5" w:rsidR="005B4BBC" w:rsidRPr="00E141E9" w:rsidRDefault="005B4BBC" w:rsidP="00342D03">
      <w:pPr>
        <w:pStyle w:val="Heading3"/>
        <w:keepNext w:val="0"/>
        <w:keepLines w:val="0"/>
        <w:widowControl w:val="0"/>
      </w:pPr>
      <w:r w:rsidRPr="00E141E9">
        <w:t>Non</w:t>
      </w:r>
      <w:r w:rsidR="00C420D0" w:rsidRPr="00E141E9">
        <w:t>-</w:t>
      </w:r>
      <w:r w:rsidR="00545C46">
        <w:t>s</w:t>
      </w:r>
      <w:r w:rsidR="00545C46" w:rsidRPr="00E141E9">
        <w:t xml:space="preserve">mall </w:t>
      </w:r>
      <w:r w:rsidR="00545C46">
        <w:t>c</w:t>
      </w:r>
      <w:r w:rsidR="00545C46" w:rsidRPr="00E141E9">
        <w:t xml:space="preserve">ell </w:t>
      </w:r>
      <w:r w:rsidR="00545C46">
        <w:t>l</w:t>
      </w:r>
      <w:r w:rsidR="00545C46" w:rsidRPr="00E141E9">
        <w:t xml:space="preserve">ung </w:t>
      </w:r>
      <w:r w:rsidR="00545C46">
        <w:t>c</w:t>
      </w:r>
      <w:r w:rsidR="00545C46" w:rsidRPr="00E141E9">
        <w:t xml:space="preserve">ancer </w:t>
      </w:r>
      <w:r w:rsidR="00C420D0" w:rsidRPr="00E141E9">
        <w:t>(</w:t>
      </w:r>
      <w:r w:rsidRPr="00E141E9">
        <w:t>NSCLC</w:t>
      </w:r>
      <w:r w:rsidR="00C420D0" w:rsidRPr="00E141E9">
        <w:t>)</w:t>
      </w:r>
      <w:r w:rsidR="00C420D0" w:rsidRPr="00E141E9">
        <w:rPr>
          <w:vertAlign w:val="superscript"/>
        </w:rPr>
        <w:t>1,2</w:t>
      </w:r>
    </w:p>
    <w:p w14:paraId="5F3817B1" w14:textId="434FC818" w:rsidR="005B4BBC" w:rsidRPr="00E141E9" w:rsidRDefault="005B4BBC" w:rsidP="00C420D0">
      <w:pPr>
        <w:pStyle w:val="BodyText"/>
        <w:rPr>
          <w:bCs/>
        </w:rPr>
      </w:pPr>
      <w:r w:rsidRPr="00E141E9">
        <w:t>Authorization of 12 months may be granted for treatment of recurrent, advanced or metastatic NSCLC (including brain metastases from NSCLC) when the member has EGFR</w:t>
      </w:r>
      <w:r w:rsidR="001A493B">
        <w:t>-sensitizing</w:t>
      </w:r>
      <w:r w:rsidRPr="00E141E9">
        <w:t xml:space="preserve"> mutation-positive disease as a single agent or in combination with ramucirumab or bevacizumab.</w:t>
      </w:r>
    </w:p>
    <w:p w14:paraId="05F1D778" w14:textId="3AE9AABE" w:rsidR="005B4BBC" w:rsidRPr="00E141E9" w:rsidRDefault="005B4BBC" w:rsidP="00342D03">
      <w:pPr>
        <w:pStyle w:val="Heading3"/>
        <w:keepNext w:val="0"/>
        <w:keepLines w:val="0"/>
        <w:widowControl w:val="0"/>
      </w:pPr>
      <w:r w:rsidRPr="00E141E9">
        <w:t xml:space="preserve">Pancreatic </w:t>
      </w:r>
      <w:r w:rsidR="00545C46">
        <w:t>c</w:t>
      </w:r>
      <w:r w:rsidR="00545C46" w:rsidRPr="00E141E9">
        <w:t>ancer</w:t>
      </w:r>
      <w:r w:rsidR="00545C46" w:rsidRPr="00E141E9">
        <w:rPr>
          <w:vertAlign w:val="superscript"/>
        </w:rPr>
        <w:t>1</w:t>
      </w:r>
      <w:r w:rsidR="00C420D0" w:rsidRPr="00E141E9">
        <w:rPr>
          <w:vertAlign w:val="superscript"/>
        </w:rPr>
        <w:t>,2</w:t>
      </w:r>
    </w:p>
    <w:p w14:paraId="21563707" w14:textId="51C6B8DA" w:rsidR="005B4BBC" w:rsidRPr="00E141E9" w:rsidRDefault="005B4BBC" w:rsidP="00C420D0">
      <w:pPr>
        <w:pStyle w:val="BodyText"/>
      </w:pPr>
      <w:r w:rsidRPr="00E141E9">
        <w:t>Authorization of 12 months may be granted for treatment of locally advanced, unresectable, recurrent or metastatic pancreatic cancer in combination with gemcitabine.</w:t>
      </w:r>
    </w:p>
    <w:p w14:paraId="0389B939" w14:textId="127CFCAD" w:rsidR="005B4BBC" w:rsidRPr="00E141E9" w:rsidRDefault="005B4BBC" w:rsidP="00342D03">
      <w:pPr>
        <w:pStyle w:val="Heading3"/>
        <w:keepNext w:val="0"/>
        <w:keepLines w:val="0"/>
        <w:widowControl w:val="0"/>
      </w:pPr>
      <w:r w:rsidRPr="00E141E9">
        <w:t xml:space="preserve">Renal </w:t>
      </w:r>
      <w:r w:rsidR="00545C46">
        <w:t>c</w:t>
      </w:r>
      <w:r w:rsidR="00545C46" w:rsidRPr="00E141E9">
        <w:t xml:space="preserve">ell </w:t>
      </w:r>
      <w:r w:rsidR="00545C46">
        <w:t>c</w:t>
      </w:r>
      <w:r w:rsidR="00545C46" w:rsidRPr="00E141E9">
        <w:t xml:space="preserve">arcinoma </w:t>
      </w:r>
      <w:r w:rsidR="00C420D0" w:rsidRPr="00E141E9">
        <w:t>(</w:t>
      </w:r>
      <w:r w:rsidRPr="00E141E9">
        <w:t>RCC</w:t>
      </w:r>
      <w:r w:rsidR="00C420D0" w:rsidRPr="00E141E9">
        <w:t>)</w:t>
      </w:r>
      <w:r w:rsidR="00C420D0" w:rsidRPr="00E141E9">
        <w:rPr>
          <w:vertAlign w:val="superscript"/>
        </w:rPr>
        <w:t>2</w:t>
      </w:r>
    </w:p>
    <w:p w14:paraId="172C276D" w14:textId="66BC1E4D" w:rsidR="005B4BBC" w:rsidRPr="00E141E9" w:rsidRDefault="005B4BBC" w:rsidP="00C420D0">
      <w:pPr>
        <w:pStyle w:val="BodyText"/>
      </w:pPr>
      <w:r w:rsidRPr="00E141E9">
        <w:t xml:space="preserve">Authorization of 12 months may be granted for treatment of relapsed or stage IV </w:t>
      </w:r>
      <w:r w:rsidR="0084759E">
        <w:t xml:space="preserve">advanced papillary </w:t>
      </w:r>
      <w:r w:rsidRPr="00E141E9">
        <w:t>renal cell carcinoma</w:t>
      </w:r>
      <w:r w:rsidR="0084759E">
        <w:t xml:space="preserve"> [including hereditary </w:t>
      </w:r>
      <w:proofErr w:type="spellStart"/>
      <w:r w:rsidR="0084759E">
        <w:t>leiomyomatosis</w:t>
      </w:r>
      <w:proofErr w:type="spellEnd"/>
      <w:r w:rsidR="0084759E">
        <w:t xml:space="preserve"> and renal cell carcinoma (HLRCC)</w:t>
      </w:r>
      <w:r w:rsidR="00DC1D86">
        <w:t>]</w:t>
      </w:r>
      <w:r w:rsidRPr="00E141E9">
        <w:t xml:space="preserve"> with non-clear cell histology in combination with bevacizumab.</w:t>
      </w:r>
    </w:p>
    <w:p w14:paraId="13F145D6" w14:textId="67B29F7F" w:rsidR="005B4BBC" w:rsidRPr="00E141E9" w:rsidRDefault="005B4BBC" w:rsidP="00342D03">
      <w:pPr>
        <w:pStyle w:val="Heading3"/>
        <w:keepNext w:val="0"/>
        <w:keepLines w:val="0"/>
        <w:widowControl w:val="0"/>
      </w:pPr>
      <w:r w:rsidRPr="00E141E9">
        <w:t>Chordoma</w:t>
      </w:r>
      <w:r w:rsidRPr="00E141E9">
        <w:rPr>
          <w:vertAlign w:val="superscript"/>
        </w:rPr>
        <w:t>2</w:t>
      </w:r>
    </w:p>
    <w:p w14:paraId="32E7FAEB" w14:textId="754BF52A" w:rsidR="005B4BBC" w:rsidRPr="00E141E9" w:rsidRDefault="005B4BBC" w:rsidP="00C420D0">
      <w:pPr>
        <w:pStyle w:val="BodyText"/>
        <w:rPr>
          <w:bCs/>
        </w:rPr>
      </w:pPr>
      <w:r w:rsidRPr="00E141E9">
        <w:t>Authorization of 12 months may be granted for treatment of recurrent</w:t>
      </w:r>
      <w:r w:rsidR="00273ADC">
        <w:t xml:space="preserve"> conventional or chondroid</w:t>
      </w:r>
      <w:r w:rsidRPr="00E141E9">
        <w:t xml:space="preserve"> chordoma as a single agent.</w:t>
      </w:r>
    </w:p>
    <w:p w14:paraId="3A643EC3" w14:textId="05BE3DD0" w:rsidR="00A501AC" w:rsidRPr="00E141E9" w:rsidRDefault="00A501AC" w:rsidP="00843C3A">
      <w:pPr>
        <w:pStyle w:val="Heading2"/>
        <w:keepNext w:val="0"/>
        <w:widowControl w:val="0"/>
        <w:tabs>
          <w:tab w:val="left" w:pos="9885"/>
        </w:tabs>
      </w:pPr>
      <w:r w:rsidRPr="00E141E9">
        <w:t>Continuation of Therapy</w:t>
      </w:r>
    </w:p>
    <w:p w14:paraId="53570B3D" w14:textId="107DAA00" w:rsidR="00A501AC" w:rsidRPr="00E141E9" w:rsidRDefault="00527298" w:rsidP="00342D03">
      <w:pPr>
        <w:pStyle w:val="Heading3"/>
        <w:keepNext w:val="0"/>
        <w:keepLines w:val="0"/>
        <w:widowControl w:val="0"/>
      </w:pPr>
      <w:r w:rsidRPr="00E141E9">
        <w:t>Non</w:t>
      </w:r>
      <w:r w:rsidR="005612D2" w:rsidRPr="00E141E9">
        <w:t>-</w:t>
      </w:r>
      <w:r w:rsidR="00FF76FE">
        <w:t>s</w:t>
      </w:r>
      <w:r w:rsidR="00FF76FE" w:rsidRPr="00E141E9">
        <w:t xml:space="preserve">mall </w:t>
      </w:r>
      <w:r w:rsidR="00FF76FE">
        <w:t>c</w:t>
      </w:r>
      <w:r w:rsidR="00FF76FE" w:rsidRPr="00E141E9">
        <w:t xml:space="preserve">ell </w:t>
      </w:r>
      <w:r w:rsidR="00FF76FE">
        <w:t>l</w:t>
      </w:r>
      <w:r w:rsidR="00FF76FE" w:rsidRPr="00E141E9">
        <w:t xml:space="preserve">ung </w:t>
      </w:r>
      <w:r w:rsidR="00FF76FE">
        <w:t>c</w:t>
      </w:r>
      <w:r w:rsidR="00FF76FE" w:rsidRPr="00E141E9">
        <w:t xml:space="preserve">ancer </w:t>
      </w:r>
      <w:r w:rsidR="005612D2" w:rsidRPr="00E141E9">
        <w:t>(</w:t>
      </w:r>
      <w:r w:rsidRPr="00E141E9">
        <w:t>NSCLC</w:t>
      </w:r>
      <w:r w:rsidR="005612D2" w:rsidRPr="00E141E9">
        <w:t>)</w:t>
      </w:r>
    </w:p>
    <w:p w14:paraId="4D56F9A0" w14:textId="7B8CDDE4" w:rsidR="00A501AC" w:rsidRPr="00E141E9" w:rsidRDefault="0025757E" w:rsidP="00342D03">
      <w:pPr>
        <w:pStyle w:val="BodyText"/>
        <w:widowControl w:val="0"/>
      </w:pPr>
      <w:r w:rsidRPr="00E141E9">
        <w:t>Authorization of 12 months may be granted for continued treatment in members requesting reauthorization for EGFR positive NSCLC when either of the following criteria are met:</w:t>
      </w:r>
    </w:p>
    <w:p w14:paraId="56C6599E" w14:textId="738ED523" w:rsidR="00FB08AE" w:rsidRPr="00E141E9" w:rsidRDefault="00FB08AE" w:rsidP="00C420D0">
      <w:pPr>
        <w:pStyle w:val="ListParagraph"/>
        <w:numPr>
          <w:ilvl w:val="0"/>
          <w:numId w:val="34"/>
        </w:numPr>
      </w:pPr>
      <w:r w:rsidRPr="00E141E9">
        <w:t>There is no evidence of unacceptable toxicity or disease progression while on the current regimen.</w:t>
      </w:r>
    </w:p>
    <w:p w14:paraId="40AE24FE" w14:textId="3C3DE003" w:rsidR="00FB08AE" w:rsidRPr="00E141E9" w:rsidRDefault="00FB08AE" w:rsidP="00C420D0">
      <w:pPr>
        <w:pStyle w:val="ListParagraph"/>
        <w:numPr>
          <w:ilvl w:val="0"/>
          <w:numId w:val="34"/>
        </w:numPr>
      </w:pPr>
      <w:r w:rsidRPr="00E141E9">
        <w:t>Disease is T790M negative and there is no evidence of unacceptable toxicity</w:t>
      </w:r>
      <w:r w:rsidR="00B07F37" w:rsidRPr="00E141E9">
        <w:t>.</w:t>
      </w:r>
    </w:p>
    <w:p w14:paraId="77AB803F" w14:textId="60131FA5" w:rsidR="00FB08AE" w:rsidRPr="00E141E9" w:rsidRDefault="0047283A" w:rsidP="00342D03">
      <w:pPr>
        <w:pStyle w:val="Heading3"/>
        <w:keepNext w:val="0"/>
        <w:keepLines w:val="0"/>
        <w:widowControl w:val="0"/>
      </w:pPr>
      <w:r w:rsidRPr="00E141E9">
        <w:t xml:space="preserve">All </w:t>
      </w:r>
      <w:r w:rsidR="00FF76FE">
        <w:t>o</w:t>
      </w:r>
      <w:r w:rsidR="00FF76FE" w:rsidRPr="00E141E9">
        <w:t xml:space="preserve">ther </w:t>
      </w:r>
      <w:r w:rsidR="00FF76FE">
        <w:t>i</w:t>
      </w:r>
      <w:r w:rsidR="00FF76FE" w:rsidRPr="00E141E9">
        <w:t>ndications</w:t>
      </w:r>
    </w:p>
    <w:p w14:paraId="14CD7D54" w14:textId="41288DFF" w:rsidR="00FB08AE" w:rsidRPr="00E141E9" w:rsidRDefault="00560616" w:rsidP="00342D03">
      <w:pPr>
        <w:pStyle w:val="BodyText"/>
        <w:widowControl w:val="0"/>
      </w:pPr>
      <w:r w:rsidRPr="00E141E9">
        <w:t xml:space="preserve">Authorization of 12 months may be granted for continued treatment in members requesting </w:t>
      </w:r>
      <w:proofErr w:type="gramStart"/>
      <w:r w:rsidRPr="00E141E9">
        <w:t>reauthorization</w:t>
      </w:r>
      <w:proofErr w:type="gramEnd"/>
      <w:r w:rsidRPr="00E141E9">
        <w:t xml:space="preserve"> for all other indications listed in the coverage criteria section when there is no evidence of unacceptable toxicity or disease progression while on the current regimen.</w:t>
      </w:r>
    </w:p>
    <w:p w14:paraId="10DA4309" w14:textId="58B1F799" w:rsidR="00FF66BF" w:rsidRPr="00E141E9" w:rsidRDefault="00FF66BF" w:rsidP="00342D03">
      <w:pPr>
        <w:pStyle w:val="Heading2"/>
        <w:keepNext w:val="0"/>
        <w:widowControl w:val="0"/>
      </w:pPr>
      <w:r w:rsidRPr="00E141E9">
        <w:t>References</w:t>
      </w:r>
    </w:p>
    <w:p w14:paraId="337FFC41" w14:textId="7EC27F7A" w:rsidR="005F33A0" w:rsidRPr="00E141E9" w:rsidRDefault="005F33A0" w:rsidP="00342D03">
      <w:pPr>
        <w:pStyle w:val="ReferenceOrdered"/>
        <w:widowControl w:val="0"/>
      </w:pPr>
      <w:r w:rsidRPr="00E141E9">
        <w:t>Erlotinib [package insert]. Pennington, NJ: Zydus Pharmaceuticals USA, Inc.; October 2023.</w:t>
      </w:r>
    </w:p>
    <w:p w14:paraId="26E25A0F" w14:textId="095E2289" w:rsidR="00FF66BF" w:rsidRPr="00E141E9" w:rsidRDefault="005F33A0" w:rsidP="00342D03">
      <w:pPr>
        <w:pStyle w:val="ReferenceOrdered"/>
        <w:widowControl w:val="0"/>
      </w:pPr>
      <w:r w:rsidRPr="00E141E9">
        <w:t>The NCCN Drugs &amp; Biologics Compendium © 202</w:t>
      </w:r>
      <w:r w:rsidR="00273ADC">
        <w:t>5</w:t>
      </w:r>
      <w:r w:rsidRPr="00E141E9">
        <w:t xml:space="preserve"> National Comprehensive Cancer Network, Inc. http://www.nccn.org. Accessed March </w:t>
      </w:r>
      <w:r w:rsidR="00273ADC">
        <w:t>3</w:t>
      </w:r>
      <w:r w:rsidRPr="00E141E9">
        <w:t>, 202</w:t>
      </w:r>
      <w:r w:rsidR="00273ADC">
        <w:t>5</w:t>
      </w:r>
    </w:p>
    <w:sectPr w:rsidR="00FF66BF" w:rsidRPr="00E141E9" w:rsidSect="001D49AE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DFBCF" w14:textId="77777777" w:rsidR="006A70A0" w:rsidRDefault="006A70A0">
      <w:r>
        <w:separator/>
      </w:r>
    </w:p>
  </w:endnote>
  <w:endnote w:type="continuationSeparator" w:id="0">
    <w:p w14:paraId="5F0AAECE" w14:textId="77777777" w:rsidR="006A70A0" w:rsidRDefault="006A70A0">
      <w:r>
        <w:continuationSeparator/>
      </w:r>
    </w:p>
  </w:endnote>
  <w:endnote w:type="continuationNotice" w:id="1">
    <w:p w14:paraId="4C732609" w14:textId="77777777" w:rsidR="006A70A0" w:rsidRDefault="006A70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079401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65C75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846C2" w:rsidRPr="003846C2">
      <w:rPr>
        <w:rFonts w:cs="Arial"/>
        <w:noProof/>
        <w:sz w:val="16"/>
        <w:szCs w:val="16"/>
        <w:lang w:val="pt-BR"/>
      </w:rPr>
      <w:t>erlotinib SGM 1664-A P2025.docx</w:t>
    </w:r>
    <w:r w:rsidRPr="00EC47B6">
      <w:rPr>
        <w:rFonts w:cs="Arial"/>
        <w:noProof/>
        <w:sz w:val="16"/>
        <w:szCs w:val="16"/>
      </w:rPr>
      <w:fldChar w:fldCharType="end"/>
    </w:r>
    <w:r w:rsidRPr="00865C75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865C75">
      <w:rPr>
        <w:rFonts w:cs="Arial"/>
        <w:snapToGrid w:val="0"/>
        <w:color w:val="000000"/>
        <w:sz w:val="16"/>
        <w:lang w:val="pt-BR"/>
      </w:rPr>
      <w:t>202</w:t>
    </w:r>
    <w:r w:rsidR="00AC2B97">
      <w:rPr>
        <w:rFonts w:cs="Arial"/>
        <w:snapToGrid w:val="0"/>
        <w:color w:val="000000"/>
        <w:sz w:val="16"/>
        <w:lang w:val="pt-BR"/>
      </w:rPr>
      <w:t>5</w:t>
    </w:r>
    <w:r w:rsidRPr="00865C75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0DF095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11C697E" w:rsidR="00F75C81" w:rsidRPr="007D4233" w:rsidRDefault="00C36B72" w:rsidP="007D4233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49E33" w14:textId="101C8435" w:rsidR="00E141E9" w:rsidRPr="00EC47B6" w:rsidRDefault="00E141E9" w:rsidP="00E141E9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141E9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67333" w:rsidRPr="00B67333">
      <w:rPr>
        <w:rFonts w:cs="Arial"/>
        <w:noProof/>
        <w:sz w:val="16"/>
        <w:szCs w:val="16"/>
        <w:lang w:val="pt-PT"/>
      </w:rPr>
      <w:t>erlotinib</w:t>
    </w:r>
    <w:r w:rsidR="00B67333">
      <w:rPr>
        <w:rFonts w:cs="Arial"/>
        <w:noProof/>
        <w:snapToGrid w:val="0"/>
        <w:color w:val="000000"/>
        <w:sz w:val="16"/>
        <w:szCs w:val="16"/>
        <w:lang w:val="pt-PT"/>
      </w:rPr>
      <w:t xml:space="preserve"> SGM 1664-A</w:t>
    </w:r>
    <w:r w:rsidR="00B67333" w:rsidRPr="00B67333">
      <w:rPr>
        <w:rFonts w:cs="Arial"/>
        <w:noProof/>
        <w:sz w:val="16"/>
        <w:szCs w:val="16"/>
        <w:lang w:val="pt-P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141E9">
      <w:rPr>
        <w:rFonts w:cs="Arial"/>
        <w:snapToGrid w:val="0"/>
        <w:color w:val="000000"/>
        <w:sz w:val="16"/>
        <w:lang w:val="pt-PT"/>
      </w:rPr>
      <w:tab/>
      <w:t xml:space="preserve">© </w:t>
    </w:r>
    <w:r w:rsidRPr="00E141E9">
      <w:rPr>
        <w:rFonts w:cs="Arial"/>
        <w:snapToGrid w:val="0"/>
        <w:color w:val="000000"/>
        <w:sz w:val="16"/>
        <w:lang w:val="pt-PT"/>
      </w:rPr>
      <w:t>202</w:t>
    </w:r>
    <w:r w:rsidR="00AC2B97">
      <w:rPr>
        <w:rFonts w:cs="Arial"/>
        <w:snapToGrid w:val="0"/>
        <w:color w:val="000000"/>
        <w:sz w:val="16"/>
        <w:lang w:val="pt-PT"/>
      </w:rPr>
      <w:t>5</w:t>
    </w:r>
    <w:r w:rsidRPr="00E141E9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5695F287" w14:textId="35261A5E" w:rsidR="00E141E9" w:rsidRPr="00EC47B6" w:rsidRDefault="00E141E9" w:rsidP="00E141E9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D3C6E04" w14:textId="3835C091" w:rsidR="00E141E9" w:rsidRPr="00F50D98" w:rsidRDefault="00E141E9" w:rsidP="001D49A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2458" w14:textId="1DF5BE17" w:rsidR="00E141E9" w:rsidRPr="00E141E9" w:rsidRDefault="00E141E9" w:rsidP="00E14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FCFA0" w14:textId="77777777" w:rsidR="006A70A0" w:rsidRDefault="006A70A0">
      <w:r>
        <w:separator/>
      </w:r>
    </w:p>
  </w:footnote>
  <w:footnote w:type="continuationSeparator" w:id="0">
    <w:p w14:paraId="16345100" w14:textId="77777777" w:rsidR="006A70A0" w:rsidRDefault="006A70A0">
      <w:r>
        <w:continuationSeparator/>
      </w:r>
    </w:p>
  </w:footnote>
  <w:footnote w:type="continuationNotice" w:id="1">
    <w:p w14:paraId="51B85CC4" w14:textId="77777777" w:rsidR="006A70A0" w:rsidRDefault="006A70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342D03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342D03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5B2EC81" w:rsidR="00ED04EC" w:rsidRPr="00342D03" w:rsidRDefault="00304B8C" w:rsidP="00ED04EC">
          <w:pPr>
            <w:pStyle w:val="Header"/>
            <w:rPr>
              <w:rFonts w:cs="Arial"/>
              <w:sz w:val="16"/>
              <w:szCs w:val="16"/>
            </w:rPr>
          </w:pPr>
          <w:r w:rsidRPr="00342D03">
            <w:rPr>
              <w:rFonts w:cs="Arial"/>
              <w:sz w:val="16"/>
              <w:szCs w:val="16"/>
            </w:rPr>
            <w:t>1664-A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0099D"/>
    <w:multiLevelType w:val="hybridMultilevel"/>
    <w:tmpl w:val="D40EB7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761261"/>
    <w:multiLevelType w:val="hybridMultilevel"/>
    <w:tmpl w:val="90489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80636"/>
    <w:multiLevelType w:val="hybridMultilevel"/>
    <w:tmpl w:val="F4FAA0F2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9">
      <w:start w:val="1"/>
      <w:numFmt w:val="lowerLetter"/>
      <w:lvlText w:val="%3."/>
      <w:lvlJc w:val="lef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76A5393"/>
    <w:multiLevelType w:val="hybridMultilevel"/>
    <w:tmpl w:val="093235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873DE"/>
    <w:multiLevelType w:val="hybridMultilevel"/>
    <w:tmpl w:val="B8A40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3A72ED"/>
    <w:multiLevelType w:val="hybridMultilevel"/>
    <w:tmpl w:val="A2C86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6218EF"/>
    <w:multiLevelType w:val="hybridMultilevel"/>
    <w:tmpl w:val="99D27C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8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9"/>
  </w:num>
  <w:num w:numId="26" w16cid:durableId="1950313333">
    <w:abstractNumId w:val="23"/>
  </w:num>
  <w:num w:numId="27" w16cid:durableId="1866016584">
    <w:abstractNumId w:val="22"/>
  </w:num>
  <w:num w:numId="28" w16cid:durableId="572812568">
    <w:abstractNumId w:val="33"/>
  </w:num>
  <w:num w:numId="29" w16cid:durableId="1634024047">
    <w:abstractNumId w:val="10"/>
  </w:num>
  <w:num w:numId="30" w16cid:durableId="108859463">
    <w:abstractNumId w:val="18"/>
  </w:num>
  <w:num w:numId="31" w16cid:durableId="2140492001">
    <w:abstractNumId w:val="12"/>
  </w:num>
  <w:num w:numId="32" w16cid:durableId="479157023">
    <w:abstractNumId w:val="17"/>
  </w:num>
  <w:num w:numId="33" w16cid:durableId="192692162">
    <w:abstractNumId w:val="20"/>
  </w:num>
  <w:num w:numId="34" w16cid:durableId="482889699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93B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49AE"/>
    <w:rsid w:val="001D536B"/>
    <w:rsid w:val="001D56F3"/>
    <w:rsid w:val="001D595E"/>
    <w:rsid w:val="001D5AA2"/>
    <w:rsid w:val="001D694B"/>
    <w:rsid w:val="001E0D36"/>
    <w:rsid w:val="001E43E4"/>
    <w:rsid w:val="001E575B"/>
    <w:rsid w:val="001E577A"/>
    <w:rsid w:val="001E637E"/>
    <w:rsid w:val="001E66EE"/>
    <w:rsid w:val="001E679E"/>
    <w:rsid w:val="001E6814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0BDD"/>
    <w:rsid w:val="00211DE1"/>
    <w:rsid w:val="00212062"/>
    <w:rsid w:val="00213310"/>
    <w:rsid w:val="002134B9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E7B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57E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ADC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B8C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1D0C"/>
    <w:rsid w:val="00332104"/>
    <w:rsid w:val="00332261"/>
    <w:rsid w:val="0033231E"/>
    <w:rsid w:val="0033351E"/>
    <w:rsid w:val="00333878"/>
    <w:rsid w:val="00333FEE"/>
    <w:rsid w:val="003347F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D03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35C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6C2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8E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08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83A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5EB2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4D3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29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5C46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16"/>
    <w:rsid w:val="00560623"/>
    <w:rsid w:val="0056090D"/>
    <w:rsid w:val="005612D2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407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BBC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3A0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3E90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355"/>
    <w:rsid w:val="0065581E"/>
    <w:rsid w:val="00655AEE"/>
    <w:rsid w:val="00656BAA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2B1C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0A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63B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BBF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2D93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C32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DBA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75E"/>
    <w:rsid w:val="007D3BE5"/>
    <w:rsid w:val="007D4233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3A"/>
    <w:rsid w:val="00843CE4"/>
    <w:rsid w:val="0084425F"/>
    <w:rsid w:val="008445A6"/>
    <w:rsid w:val="00844E79"/>
    <w:rsid w:val="008465D2"/>
    <w:rsid w:val="00846B89"/>
    <w:rsid w:val="0084759E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C75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3038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3F0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611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2CE6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6F4A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D67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D0F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6FB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CC2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3C8"/>
    <w:rsid w:val="00AA46E5"/>
    <w:rsid w:val="00AA46E6"/>
    <w:rsid w:val="00AA4E3C"/>
    <w:rsid w:val="00AA5FEE"/>
    <w:rsid w:val="00AA6624"/>
    <w:rsid w:val="00AA671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B97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8D7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07F37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25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333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750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9D3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0D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628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5CF6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C7883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1F8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1D86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0C28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307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41E9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232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83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A7C5A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B41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B9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8AE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E42"/>
    <w:rsid w:val="00FE5FDA"/>
    <w:rsid w:val="00FE6BAD"/>
    <w:rsid w:val="00FE78A7"/>
    <w:rsid w:val="00FE7C80"/>
    <w:rsid w:val="00FF2F94"/>
    <w:rsid w:val="00FF35C5"/>
    <w:rsid w:val="00FF37B2"/>
    <w:rsid w:val="00FF409F"/>
    <w:rsid w:val="00FF530E"/>
    <w:rsid w:val="00FF5C3C"/>
    <w:rsid w:val="00FF5C4F"/>
    <w:rsid w:val="00FF66BF"/>
    <w:rsid w:val="00FF7695"/>
    <w:rsid w:val="00FF76FE"/>
    <w:rsid w:val="29729D5D"/>
    <w:rsid w:val="3D1381FD"/>
    <w:rsid w:val="51A62D71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BF7BF0D-31F9-4BC5-8CD5-D56AB8774B48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erlotinib 1664-A SGM 2024</vt:lpstr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erlotinib SGM 1664-A</dc:title>
  <dc:subject>erlotinib SGM 1664-A</dc:subject>
  <dc:creator>CVS Caremark</dc:creator>
  <cp:keywords/>
  <cp:lastModifiedBy>Ortiz, Erica M</cp:lastModifiedBy>
  <cp:revision>5</cp:revision>
  <cp:lastPrinted>2024-04-23T07:59:00Z</cp:lastPrinted>
  <dcterms:created xsi:type="dcterms:W3CDTF">2025-07-09T20:32:00Z</dcterms:created>
  <dcterms:modified xsi:type="dcterms:W3CDTF">2025-07-09T20:37:00Z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1263300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